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val="0"/>
        <w:topLinePunct w:val="0"/>
        <w:bidi w:val="0"/>
        <w:spacing w:line="360" w:lineRule="auto"/>
        <w:ind w:left="0"/>
        <w:textAlignment w:val="auto"/>
        <w:rPr>
          <w:rFonts w:hint="eastAsia" w:ascii="黑体" w:hAnsi="黑体" w:eastAsia="黑体"/>
          <w:sz w:val="32"/>
          <w:szCs w:val="32"/>
        </w:rPr>
      </w:pPr>
      <w:bookmarkStart w:id="0" w:name="_GoBack"/>
      <w:bookmarkEnd w:id="0"/>
      <w:r>
        <w:rPr>
          <w:rFonts w:hint="eastAsia" w:ascii="黑体" w:hAnsi="黑体" w:eastAsia="黑体"/>
          <w:sz w:val="32"/>
          <w:szCs w:val="32"/>
        </w:rPr>
        <w:t>附件1</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_GBK" w:hAnsi="方正小标宋_GBK"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水库降等与报废管理办法</w:t>
      </w:r>
    </w:p>
    <w:p>
      <w:pPr>
        <w:keepNext w:val="0"/>
        <w:keepLines w:val="0"/>
        <w:pageBreakBefore w:val="0"/>
        <w:widowControl w:val="0"/>
        <w:tabs>
          <w:tab w:val="left" w:pos="1680"/>
        </w:tabs>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宋体"/>
          <w:bCs/>
          <w:kern w:val="0"/>
          <w:sz w:val="32"/>
          <w:szCs w:val="32"/>
        </w:rPr>
      </w:pPr>
      <w:r>
        <w:rPr>
          <w:rFonts w:hint="eastAsia" w:ascii="仿宋" w:hAnsi="仿宋" w:eastAsia="仿宋" w:cs="宋体"/>
          <w:bCs/>
          <w:kern w:val="0"/>
          <w:sz w:val="32"/>
          <w:szCs w:val="32"/>
        </w:rPr>
        <w:t>（修订草案征求意见稿）</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560" w:firstLineChars="200"/>
        <w:textAlignment w:val="auto"/>
        <w:rPr>
          <w:rFonts w:ascii="仿宋" w:hAnsi="仿宋" w:eastAsia="仿宋" w:cs="宋体"/>
          <w:bCs/>
          <w:kern w:val="0"/>
          <w:sz w:val="28"/>
          <w:szCs w:val="21"/>
        </w:rPr>
      </w:pP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黑体" w:hAnsi="黑体" w:eastAsia="黑体" w:cs="宋体"/>
          <w:bCs/>
          <w:kern w:val="0"/>
          <w:sz w:val="32"/>
          <w:szCs w:val="32"/>
        </w:rPr>
        <w:t>第一条（目的依据）</w:t>
      </w:r>
      <w:r>
        <w:rPr>
          <w:rFonts w:hint="eastAsia" w:ascii="仿宋" w:hAnsi="仿宋" w:eastAsia="仿宋" w:cs="宋体"/>
          <w:bCs/>
          <w:kern w:val="0"/>
          <w:sz w:val="32"/>
          <w:szCs w:val="32"/>
        </w:rPr>
        <w:t>　为适应新阶段水利高质量发展要求，进一步加强水库安全管理，规范水库降等与报废工作，根据《中华人民共和国水法》《中华人民共和国防洪法》《水库大坝安全管理条例》等法律法规，制定本办法。</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黑体" w:hAnsi="黑体" w:eastAsia="黑体" w:cs="宋体"/>
          <w:bCs/>
          <w:kern w:val="0"/>
          <w:sz w:val="32"/>
          <w:szCs w:val="32"/>
        </w:rPr>
        <w:t>第二条（适用范围）　</w:t>
      </w:r>
      <w:r>
        <w:rPr>
          <w:rFonts w:hint="eastAsia" w:ascii="仿宋" w:hAnsi="仿宋" w:eastAsia="仿宋" w:cs="宋体"/>
          <w:bCs/>
          <w:kern w:val="0"/>
          <w:sz w:val="32"/>
          <w:szCs w:val="32"/>
        </w:rPr>
        <w:t>本办法适用于按照《水库大坝注册登记办法》注册登记水库的降等与报废。</w:t>
      </w:r>
    </w:p>
    <w:p>
      <w:pPr>
        <w:keepNext w:val="0"/>
        <w:keepLines w:val="0"/>
        <w:pageBreakBefore w:val="0"/>
        <w:widowControl w:val="0"/>
        <w:tabs>
          <w:tab w:val="left" w:pos="126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黑体" w:hAnsi="黑体" w:eastAsia="黑体" w:cs="宋体"/>
          <w:bCs/>
          <w:kern w:val="0"/>
          <w:sz w:val="32"/>
          <w:szCs w:val="32"/>
        </w:rPr>
        <w:t>第三条（术语定义）</w:t>
      </w:r>
      <w:r>
        <w:rPr>
          <w:rFonts w:hint="eastAsia" w:ascii="仿宋" w:hAnsi="仿宋" w:eastAsia="仿宋" w:cs="宋体"/>
          <w:bCs/>
          <w:kern w:val="0"/>
          <w:sz w:val="32"/>
          <w:szCs w:val="32"/>
        </w:rPr>
        <w:t>　降等是指因水库规模减小、功能萎缩、经济社会发展需求变化等原因，将原设计工程等别降低进行运行管理且仍然达到水库规模，以保证工程安全和发挥相应效益的措施。</w:t>
      </w:r>
    </w:p>
    <w:p>
      <w:pPr>
        <w:keepNext w:val="0"/>
        <w:keepLines w:val="0"/>
        <w:pageBreakBefore w:val="0"/>
        <w:widowControl w:val="0"/>
        <w:tabs>
          <w:tab w:val="left" w:pos="126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报废是指对功能基本丧失、现有库容达不到水库规模或者病险严重的水库，处置措施技术上不可行或者经济上不合理的，所采取的退出水库管理的处置措施。</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黑体" w:hAnsi="黑体" w:eastAsia="黑体" w:cs="宋体"/>
          <w:bCs/>
          <w:kern w:val="0"/>
          <w:sz w:val="32"/>
          <w:szCs w:val="32"/>
        </w:rPr>
        <w:t>第四条（单位职责）</w:t>
      </w:r>
      <w:r>
        <w:rPr>
          <w:rFonts w:hint="eastAsia" w:ascii="仿宋" w:hAnsi="仿宋" w:eastAsia="仿宋" w:cs="宋体"/>
          <w:bCs/>
          <w:kern w:val="0"/>
          <w:sz w:val="32"/>
          <w:szCs w:val="32"/>
        </w:rPr>
        <w:t>　县级以上人民政府水行政主管部门按照分级负责的原则对水库降等与报废工作实施监督管理。</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水库主管部门（单位）负责所管辖水库的降等与报废工作的组织实施；乡镇人民政府负责农村集体经济组织所管辖水库的降等与报废工作的组织实施。</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前款规定的水库主管部门（单位）、乡镇人民政府，统称为水库降等与报废工作实施责任单位。</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黑体" w:hAnsi="黑体" w:eastAsia="黑体" w:cs="宋体"/>
          <w:bCs/>
          <w:kern w:val="0"/>
          <w:sz w:val="32"/>
          <w:szCs w:val="32"/>
        </w:rPr>
        <w:t>第五条（基本程序）</w:t>
      </w:r>
      <w:r>
        <w:rPr>
          <w:rFonts w:hint="eastAsia" w:ascii="仿宋" w:hAnsi="仿宋" w:eastAsia="仿宋" w:cs="宋体"/>
          <w:bCs/>
          <w:kern w:val="0"/>
          <w:sz w:val="32"/>
          <w:szCs w:val="32"/>
        </w:rPr>
        <w:t>　水库降等或者报废必须经过论证、审批等程序后实施。</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黑体" w:hAnsi="黑体" w:eastAsia="黑体" w:cs="宋体"/>
          <w:bCs/>
          <w:kern w:val="0"/>
          <w:sz w:val="32"/>
          <w:szCs w:val="32"/>
        </w:rPr>
        <w:t>第六条（资产处置）</w:t>
      </w:r>
      <w:r>
        <w:rPr>
          <w:rFonts w:hint="eastAsia" w:ascii="仿宋" w:hAnsi="仿宋" w:eastAsia="仿宋" w:cs="宋体"/>
          <w:bCs/>
          <w:kern w:val="0"/>
          <w:sz w:val="32"/>
          <w:szCs w:val="32"/>
        </w:rPr>
        <w:t>　水库降等或者报废涉及的国有资产处置，执行国有资产管理的有关规定。</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非国有资产处置由出资人协商解决。</w:t>
      </w:r>
    </w:p>
    <w:p>
      <w:pPr>
        <w:keepNext w:val="0"/>
        <w:keepLines w:val="0"/>
        <w:pageBreakBefore w:val="0"/>
        <w:widowControl w:val="0"/>
        <w:tabs>
          <w:tab w:val="left" w:pos="1260"/>
        </w:tabs>
        <w:kinsoku/>
        <w:wordWrap/>
        <w:overflowPunct/>
        <w:topLinePunct w:val="0"/>
        <w:autoSpaceDE/>
        <w:autoSpaceDN/>
        <w:bidi w:val="0"/>
        <w:adjustRightInd/>
        <w:snapToGrid w:val="0"/>
        <w:spacing w:line="600" w:lineRule="exact"/>
        <w:ind w:firstLine="640" w:firstLineChars="200"/>
        <w:textAlignment w:val="auto"/>
        <w:rPr>
          <w:rFonts w:ascii="宋体" w:hAnsi="宋体" w:cs="宋体"/>
          <w:bCs/>
          <w:kern w:val="0"/>
          <w:sz w:val="28"/>
          <w:szCs w:val="28"/>
        </w:rPr>
      </w:pPr>
      <w:r>
        <w:rPr>
          <w:rFonts w:hint="eastAsia" w:ascii="黑体" w:hAnsi="黑体" w:eastAsia="黑体" w:cs="宋体"/>
          <w:bCs/>
          <w:kern w:val="0"/>
          <w:sz w:val="32"/>
          <w:szCs w:val="32"/>
        </w:rPr>
        <w:t>第七条（降等条件）</w:t>
      </w:r>
      <w:r>
        <w:rPr>
          <w:rFonts w:hint="eastAsia" w:ascii="仿宋" w:hAnsi="仿宋" w:eastAsia="仿宋" w:cs="宋体"/>
          <w:bCs/>
          <w:kern w:val="0"/>
          <w:sz w:val="32"/>
          <w:szCs w:val="32"/>
        </w:rPr>
        <w:t>　符合下列条件之一的水库，可予以降等：</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（一）因规划、设计、施工等原因，实际工程规模达不到原设计工程等别标准，不具备改建、扩建条件，或者改建、扩建技术上不可行或者经济上不合理的；</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（二）因淤积严重，现有库容低于原设计工程等别标准，恢复库容技术上不可行或者经济上不合理的；</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（三）原设计功能大部分已被其他工程替代，且无进一步开发利用价值或者水库功能萎缩已达不到原设计工程等别的；</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（四）病险严重且除险加固技术上不可行或者经济上不合理，降等可保证安全和发挥相应效益的；</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（五）因征地、移民或者在库区淹没范围内有重要的工矿企业、军事设施、国家重点文物等原因，致使水库自建库以来不能按照原设计标准正常蓄水，且难以解决的；</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（六）遭遇洪水、地震等自然灾害或战争等不可抗力造成工程破坏，恢复水库原工程等别技术上不可行或者经济上不合理，降等可保证安全和现阶段实际需要的；</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（七）因其他原因需要降等的。</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黑体" w:hAnsi="黑体" w:eastAsia="黑体" w:cs="宋体"/>
          <w:bCs/>
          <w:kern w:val="0"/>
          <w:sz w:val="32"/>
          <w:szCs w:val="32"/>
        </w:rPr>
        <w:t>第八条（报废条件）</w:t>
      </w:r>
      <w:r>
        <w:rPr>
          <w:rFonts w:hint="eastAsia" w:ascii="仿宋" w:hAnsi="仿宋" w:eastAsia="仿宋" w:cs="宋体"/>
          <w:bCs/>
          <w:kern w:val="0"/>
          <w:sz w:val="32"/>
          <w:szCs w:val="32"/>
        </w:rPr>
        <w:t>　符合下列条件之一的水库，应当予以报废：</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（一）防洪、灌溉、供水、发电、养殖及旅游等效益基本丧失或者被其他工程替代，无进一步开发利用价值的；</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（二）现有库容达不到水库规模，恢复库容技术上不可行或者经济上不合理，或者无改建、扩建、恢复需要的；</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（三）建库以来从未蓄水运用，无进一步开发利用价值的；</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（四）遭遇洪水、地震等自然灾害或战争等不可抗力，工程严重损毁，无恢复利用价值的；</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（五）库区渗漏严重，无法发挥效益，加固处理技术上不可行或者经济上不合理的；</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（六）病险严重且除险加固技术上不可行或者经济上不合理，降等仍不能保证安全的；</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（七）因其他原因需要报废的。</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黑体" w:hAnsi="黑体" w:eastAsia="黑体" w:cs="宋体"/>
          <w:bCs/>
          <w:kern w:val="0"/>
          <w:sz w:val="32"/>
          <w:szCs w:val="32"/>
        </w:rPr>
        <w:t>第九条（论证规定）</w:t>
      </w:r>
      <w:r>
        <w:rPr>
          <w:rFonts w:hint="eastAsia" w:ascii="仿宋" w:hAnsi="仿宋" w:eastAsia="仿宋" w:cs="宋体"/>
          <w:bCs/>
          <w:kern w:val="0"/>
          <w:sz w:val="32"/>
          <w:szCs w:val="32"/>
        </w:rPr>
        <w:t>　凡符合本办法第七条、第八条规定，应当予以降等或者报废的水库，由水库降等与报废工作实施责任单位根据水库规模委托具有相应勘察设计资质的单位，依据相关技术标准开展水库降等或者报废论证，提出水库降等或者报废论证报告。</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水库降等或者报废论证报告应明确降等或者报废的理由、依据和实施方案。对于无防洪功能或影响范围较小的小型水库，降等或者报废论证报告内容可根据实际情况适当简化。水库降等或者报废情况复杂的，可对实施方案进行专项论证。</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水库降等或者报废论证应当考虑社会经济发展与生态文明建设需求，合理选择降等或者报废方案，解决好生态保护和修复等相关问题。</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黑体" w:hAnsi="黑体" w:eastAsia="黑体" w:cs="宋体"/>
          <w:bCs/>
          <w:kern w:val="0"/>
          <w:sz w:val="32"/>
          <w:szCs w:val="32"/>
        </w:rPr>
        <w:t>第十条（申报材料）</w:t>
      </w:r>
      <w:r>
        <w:rPr>
          <w:rFonts w:hint="eastAsia" w:ascii="仿宋" w:hAnsi="仿宋" w:eastAsia="仿宋" w:cs="宋体"/>
          <w:bCs/>
          <w:kern w:val="0"/>
          <w:sz w:val="32"/>
          <w:szCs w:val="32"/>
        </w:rPr>
        <w:t>　水库降等或者报废论证报告完成后，需要降等或者报废的，水库降等与报废工作实施责任单位应当逐级向有审批权限的机关提出申请。申请材料包括：</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（一）降等或者报废申请书；</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（二）降等或者报废论证报告；</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（三）降等或者报废利害关系人的书面意见；</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（四）报废水库的资产核定材料；</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（五）其他有关材料。</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黑体" w:hAnsi="黑体" w:eastAsia="黑体" w:cs="宋体"/>
          <w:bCs/>
          <w:kern w:val="0"/>
          <w:sz w:val="32"/>
          <w:szCs w:val="32"/>
        </w:rPr>
        <w:t>第十一条（分级审批权限）</w:t>
      </w:r>
      <w:r>
        <w:rPr>
          <w:rFonts w:hint="eastAsia" w:ascii="仿宋" w:hAnsi="仿宋" w:eastAsia="仿宋" w:cs="宋体"/>
          <w:bCs/>
          <w:kern w:val="0"/>
          <w:sz w:val="32"/>
          <w:szCs w:val="32"/>
        </w:rPr>
        <w:t>　水行政主管部门及农村集体经济组织管辖的水库降等或者报废，由水行政主管部门或者流域管理机构按照以下规定权限审批：</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（一）跨省际边界或者对大江大河防洪安全起重要作用的大（1）型水库，由国务院水行政主管部门审批；</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（二）对大江大河防洪安全起重要作用的大（2）型水库和跨省际边界的其他水库，由流域管理机构审批；</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（三）除第（一）项、第（二）项以外的大型和中型水库，由省级水行政主管部门审批；</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（四）上述规定以外的小（1）型水库由市（地）级以上水行政主管部门审批；小（2）型水库由县级以上水行政主管部门审批。</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（五）在同省（自治区、直辖市）范围内的跨市或者县级行政区域的水库，由共同的上一级水行政主管部门审批。</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其他部门（单位）管辖的水库降等与报废，审批权限按照该部门（单位）的有关规定执行。审批结果应当及时报同级水行政主管部门及防汛抗旱指挥机构备案。</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黑体" w:hAnsi="黑体" w:eastAsia="黑体" w:cs="宋体"/>
          <w:bCs/>
          <w:kern w:val="0"/>
          <w:sz w:val="32"/>
          <w:szCs w:val="32"/>
        </w:rPr>
        <w:t>第十二条（审查审批）</w:t>
      </w:r>
      <w:r>
        <w:rPr>
          <w:rFonts w:hint="eastAsia" w:ascii="仿宋" w:hAnsi="仿宋" w:eastAsia="仿宋" w:cs="宋体"/>
          <w:bCs/>
          <w:kern w:val="0"/>
          <w:sz w:val="32"/>
          <w:szCs w:val="32"/>
        </w:rPr>
        <w:t>　审批机关应当组织或者委托有关单位组织水行政、发展改革、财政等有关部门（单位）代表和专家组对水库降等或者报废论证报告进行审查，并在自接到降等或者报废申请后三个月内予以批复。</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专家组可根据需要聘请水利规划、水文水资源、工程地质、水工结构、施工、工程管理、水土保持等专业的专家参加。</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专家组职责包括：现场察看；审阅报告和材料；提出审查意见。</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黑体" w:hAnsi="黑体" w:eastAsia="黑体" w:cs="宋体"/>
          <w:bCs/>
          <w:kern w:val="0"/>
          <w:sz w:val="32"/>
          <w:szCs w:val="32"/>
        </w:rPr>
        <w:t>第十三条（安全保障）</w:t>
      </w:r>
      <w:r>
        <w:rPr>
          <w:rFonts w:hint="eastAsia" w:ascii="仿宋" w:hAnsi="仿宋" w:eastAsia="仿宋" w:cs="宋体"/>
          <w:bCs/>
          <w:kern w:val="0"/>
          <w:sz w:val="32"/>
          <w:szCs w:val="32"/>
        </w:rPr>
        <w:t>　水库降等与报废工作实施责任单位应当根据批复意见，及时组织和实施水库降等或者报废的有关工作。</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水库降等与报废实施前，由原水库管理单位负责水库的安全管理。</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黑体" w:hAnsi="黑体" w:eastAsia="黑体" w:cs="宋体"/>
          <w:bCs/>
          <w:kern w:val="0"/>
          <w:sz w:val="32"/>
          <w:szCs w:val="32"/>
        </w:rPr>
        <w:t>第十四条（降等措施）</w:t>
      </w:r>
      <w:r>
        <w:rPr>
          <w:rFonts w:hint="eastAsia" w:ascii="仿宋" w:hAnsi="仿宋" w:eastAsia="仿宋" w:cs="宋体"/>
          <w:bCs/>
          <w:kern w:val="0"/>
          <w:sz w:val="32"/>
          <w:szCs w:val="32"/>
        </w:rPr>
        <w:t>　水库降等的组织实施包括以下措施：</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（一）落实降等实施方案；</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（二）修订和报批水库降等后调度规程（方案）、应急预案，落实各项运行管理制度；</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（三）调整水库运行管理机构、人员、管理与保护范围等事项；</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（四）资料整编和归档；</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（五）批复意见确定的其他措施。</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黑体" w:hAnsi="黑体" w:eastAsia="黑体" w:cs="宋体"/>
          <w:bCs/>
          <w:kern w:val="0"/>
          <w:sz w:val="32"/>
          <w:szCs w:val="32"/>
        </w:rPr>
        <w:t>第十五条（报废措施）</w:t>
      </w:r>
      <w:r>
        <w:rPr>
          <w:rFonts w:hint="eastAsia" w:ascii="仿宋" w:hAnsi="仿宋" w:eastAsia="仿宋" w:cs="宋体"/>
          <w:bCs/>
          <w:kern w:val="0"/>
          <w:sz w:val="32"/>
          <w:szCs w:val="32"/>
        </w:rPr>
        <w:t>　</w:t>
      </w:r>
      <w:r>
        <w:rPr>
          <w:rFonts w:hint="eastAsia" w:ascii="宋体" w:hAnsi="宋体" w:cs="宋体"/>
          <w:bCs/>
          <w:kern w:val="0"/>
          <w:sz w:val="28"/>
          <w:szCs w:val="28"/>
        </w:rPr>
        <w:t>水</w:t>
      </w:r>
      <w:r>
        <w:rPr>
          <w:rFonts w:hint="eastAsia" w:ascii="仿宋" w:hAnsi="仿宋" w:eastAsia="仿宋" w:cs="宋体"/>
          <w:bCs/>
          <w:kern w:val="0"/>
          <w:sz w:val="32"/>
          <w:szCs w:val="32"/>
        </w:rPr>
        <w:t>库报废的组织实施包括以下措施：</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（一）落实报废实施方案及安全行洪措施；</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（二）资产以及与水库有关的债权、债务合同、协议的处置；</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（三）管理机构变更或者撤销，职工安置；</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（四）水库报废后续安全管理要求；</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（五）资料整编、归档和移交；</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（六）批复意见确定的其他措施。</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黑体" w:hAnsi="黑体" w:eastAsia="黑体" w:cs="宋体"/>
          <w:bCs/>
          <w:kern w:val="0"/>
          <w:sz w:val="32"/>
          <w:szCs w:val="32"/>
        </w:rPr>
        <w:t>第十六条（处置原则）</w:t>
      </w:r>
      <w:r>
        <w:rPr>
          <w:rFonts w:hint="eastAsia" w:ascii="仿宋" w:hAnsi="仿宋" w:eastAsia="仿宋" w:cs="宋体"/>
          <w:bCs/>
          <w:kern w:val="0"/>
          <w:sz w:val="32"/>
          <w:szCs w:val="32"/>
        </w:rPr>
        <w:t>　水库报废实施责任单位应当妥善安置原水库管理人员，库区和管理范围内的设施、土地的开发利用要优先用于原水库管理人员的安置。</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黑体" w:hAnsi="黑体" w:eastAsia="黑体" w:cs="宋体"/>
          <w:bCs/>
          <w:kern w:val="0"/>
          <w:sz w:val="32"/>
          <w:szCs w:val="32"/>
        </w:rPr>
        <w:t>第十七条（经费筹措）</w:t>
      </w:r>
      <w:r>
        <w:rPr>
          <w:rFonts w:hint="eastAsia" w:ascii="仿宋" w:hAnsi="仿宋" w:eastAsia="仿宋" w:cs="宋体"/>
          <w:bCs/>
          <w:kern w:val="0"/>
          <w:sz w:val="32"/>
          <w:szCs w:val="32"/>
        </w:rPr>
        <w:t>　水库降等与报废工作所需经费，由水库降等与报废工作实施责任单位负责筹措。</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黑体" w:hAnsi="黑体" w:eastAsia="黑体" w:cs="宋体"/>
          <w:bCs/>
          <w:kern w:val="0"/>
          <w:sz w:val="32"/>
          <w:szCs w:val="32"/>
        </w:rPr>
        <w:t>第十八条（验收管理）</w:t>
      </w:r>
      <w:r>
        <w:rPr>
          <w:rFonts w:hint="eastAsia" w:ascii="仿宋" w:hAnsi="仿宋" w:eastAsia="仿宋" w:cs="宋体"/>
          <w:bCs/>
          <w:kern w:val="0"/>
          <w:sz w:val="32"/>
          <w:szCs w:val="32"/>
        </w:rPr>
        <w:t>　水库降等或者报废措施完成后，由水库降等或者报废工作实施责任单位提出申请，审批机关组织水行政主管部门及有关部门（单位）代表和专家按照批复进行验收。</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降等或者报废水库善后处理不到位，仍对公共安全或者生态环境构成威胁的，或者仍存在矛盾纠纷的，审批机关不得通过验收，并应责令限期整改。</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黑体" w:hAnsi="黑体" w:eastAsia="黑体" w:cs="宋体"/>
          <w:bCs/>
          <w:kern w:val="0"/>
          <w:sz w:val="32"/>
          <w:szCs w:val="32"/>
        </w:rPr>
        <w:t>第十九条（信息管理）</w:t>
      </w:r>
      <w:r>
        <w:rPr>
          <w:rFonts w:hint="eastAsia" w:ascii="仿宋" w:hAnsi="仿宋" w:eastAsia="仿宋" w:cs="宋体"/>
          <w:bCs/>
          <w:kern w:val="0"/>
          <w:sz w:val="32"/>
          <w:szCs w:val="32"/>
        </w:rPr>
        <w:t>　水库降等与报废工作经验收后，应按照《水库大坝注册登记办法》的有关规定，办理变更登记或者注销手续。</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黑体" w:hAnsi="黑体" w:eastAsia="黑体" w:cs="宋体"/>
          <w:bCs/>
          <w:kern w:val="0"/>
          <w:sz w:val="32"/>
          <w:szCs w:val="32"/>
        </w:rPr>
        <w:t>第二十条（违规问责）</w:t>
      </w:r>
      <w:r>
        <w:rPr>
          <w:rFonts w:hint="eastAsia" w:ascii="仿宋" w:hAnsi="仿宋" w:eastAsia="仿宋" w:cs="宋体"/>
          <w:bCs/>
          <w:kern w:val="0"/>
          <w:sz w:val="32"/>
          <w:szCs w:val="32"/>
        </w:rPr>
        <w:t>　对应当予以降等和报废的水库不及时实施或者违反本办法规定实施降等报废的，由县级以上人民政府水行政主管部门或者流域管理机构责令相关责任单位限期改正；造成安全事故等严重后果的，依法依规追究相关单位和人员责任；构成犯罪的，依法追究刑事责任。</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ascii="仿宋" w:hAnsi="仿宋" w:eastAsia="仿宋" w:cs="宋体"/>
          <w:bCs/>
          <w:kern w:val="0"/>
          <w:sz w:val="32"/>
          <w:szCs w:val="32"/>
        </w:rPr>
      </w:pPr>
      <w:r>
        <w:rPr>
          <w:rFonts w:hint="eastAsia" w:ascii="黑体" w:hAnsi="黑体" w:eastAsia="黑体" w:cs="宋体"/>
          <w:bCs/>
          <w:kern w:val="0"/>
          <w:sz w:val="32"/>
          <w:szCs w:val="32"/>
        </w:rPr>
        <w:t>第二十一条（解释权限）</w:t>
      </w:r>
      <w:r>
        <w:rPr>
          <w:rFonts w:hint="eastAsia" w:ascii="仿宋" w:hAnsi="仿宋" w:eastAsia="仿宋" w:cs="宋体"/>
          <w:bCs/>
          <w:kern w:val="0"/>
          <w:sz w:val="32"/>
          <w:szCs w:val="32"/>
        </w:rPr>
        <w:t>　本办法由水利部负责解释。</w:t>
      </w:r>
    </w:p>
    <w:p>
      <w:pPr>
        <w:keepNext w:val="0"/>
        <w:keepLines w:val="0"/>
        <w:pageBreakBefore w:val="0"/>
        <w:widowControl w:val="0"/>
        <w:tabs>
          <w:tab w:val="left" w:pos="1680"/>
        </w:tabs>
        <w:kinsoku/>
        <w:wordWrap/>
        <w:overflowPunct/>
        <w:topLinePunct w:val="0"/>
        <w:autoSpaceDE/>
        <w:autoSpaceDN/>
        <w:bidi w:val="0"/>
        <w:adjustRightInd/>
        <w:spacing w:line="600" w:lineRule="exact"/>
        <w:ind w:firstLine="640" w:firstLineChars="200"/>
        <w:textAlignment w:val="auto"/>
        <w:rPr>
          <w:rFonts w:hint="eastAsia" w:ascii="仿宋" w:hAnsi="仿宋" w:eastAsia="仿宋" w:cs="宋体"/>
          <w:bCs/>
          <w:kern w:val="0"/>
          <w:sz w:val="32"/>
          <w:szCs w:val="32"/>
        </w:rPr>
      </w:pPr>
      <w:r>
        <w:rPr>
          <w:rFonts w:hint="eastAsia" w:ascii="黑体" w:hAnsi="黑体" w:eastAsia="黑体" w:cs="宋体"/>
          <w:bCs/>
          <w:kern w:val="0"/>
          <w:sz w:val="32"/>
          <w:szCs w:val="32"/>
        </w:rPr>
        <w:t>第二十二条（施行日期）</w:t>
      </w:r>
      <w:r>
        <w:rPr>
          <w:rFonts w:hint="eastAsia" w:ascii="仿宋" w:hAnsi="仿宋" w:eastAsia="仿宋" w:cs="宋体"/>
          <w:bCs/>
          <w:kern w:val="0"/>
          <w:sz w:val="32"/>
          <w:szCs w:val="32"/>
        </w:rPr>
        <w:t>　本办法自印发之日起施行。</w:t>
      </w:r>
    </w:p>
    <w:p>
      <w:pPr>
        <w:keepNext w:val="0"/>
        <w:keepLines w:val="0"/>
        <w:pageBreakBefore w:val="0"/>
        <w:widowControl w:val="0"/>
        <w:tabs>
          <w:tab w:val="left" w:pos="1680"/>
        </w:tabs>
        <w:kinsoku/>
        <w:wordWrap/>
        <w:topLinePunct w:val="0"/>
        <w:bidi w:val="0"/>
        <w:spacing w:line="360" w:lineRule="auto"/>
        <w:ind w:firstLine="640" w:firstLineChars="200"/>
        <w:textAlignment w:val="auto"/>
        <w:rPr>
          <w:rFonts w:hint="eastAsia" w:ascii="仿宋" w:hAnsi="仿宋" w:eastAsia="仿宋" w:cs="宋体"/>
          <w:bCs/>
          <w:kern w:val="0"/>
          <w:sz w:val="32"/>
          <w:szCs w:val="32"/>
        </w:rPr>
      </w:pPr>
    </w:p>
    <w:sectPr>
      <w:footerReference r:id="rId3" w:type="default"/>
      <w:pgSz w:w="11906" w:h="16838"/>
      <w:pgMar w:top="1440" w:right="1757" w:bottom="1440" w:left="179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17088679"/>
                          </w:sdtPr>
                          <w:sdtContent>
                            <w:p>
                              <w:pPr>
                                <w:pStyle w:val="7"/>
                                <w:jc w:val="center"/>
                              </w:pPr>
                              <w:r>
                                <w:fldChar w:fldCharType="begin"/>
                              </w:r>
                              <w:r>
                                <w:instrText xml:space="preserve">PAGE   \* MERGEFORMAT</w:instrText>
                              </w:r>
                              <w:r>
                                <w:fldChar w:fldCharType="separate"/>
                              </w:r>
                              <w:r>
                                <w:rPr>
                                  <w:lang w:val="zh-CN"/>
                                </w:rPr>
                                <w:t>11</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917088679"/>
                    </w:sdtPr>
                    <w:sdtContent>
                      <w:p>
                        <w:pPr>
                          <w:pStyle w:val="7"/>
                          <w:jc w:val="center"/>
                        </w:pPr>
                        <w:r>
                          <w:fldChar w:fldCharType="begin"/>
                        </w:r>
                        <w:r>
                          <w:instrText xml:space="preserve">PAGE   \* MERGEFORMAT</w:instrText>
                        </w:r>
                        <w:r>
                          <w:fldChar w:fldCharType="separate"/>
                        </w:r>
                        <w:r>
                          <w:rPr>
                            <w:lang w:val="zh-CN"/>
                          </w:rPr>
                          <w:t>11</w:t>
                        </w:r>
                        <w:r>
                          <w:fldChar w:fldCharType="end"/>
                        </w:r>
                      </w:p>
                    </w:sdtContent>
                  </w:sdt>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DC"/>
    <w:rsid w:val="000574B1"/>
    <w:rsid w:val="001061C4"/>
    <w:rsid w:val="001218E8"/>
    <w:rsid w:val="00160463"/>
    <w:rsid w:val="00175B62"/>
    <w:rsid w:val="001823E0"/>
    <w:rsid w:val="00191AD4"/>
    <w:rsid w:val="001C3FC3"/>
    <w:rsid w:val="001F3E50"/>
    <w:rsid w:val="002148FA"/>
    <w:rsid w:val="00266EBC"/>
    <w:rsid w:val="002772DC"/>
    <w:rsid w:val="0036445A"/>
    <w:rsid w:val="003A310B"/>
    <w:rsid w:val="003E0CE5"/>
    <w:rsid w:val="004275B2"/>
    <w:rsid w:val="00526F9C"/>
    <w:rsid w:val="00527F2A"/>
    <w:rsid w:val="00596156"/>
    <w:rsid w:val="005B5EEC"/>
    <w:rsid w:val="00617324"/>
    <w:rsid w:val="0066022A"/>
    <w:rsid w:val="006B793A"/>
    <w:rsid w:val="006C2CCD"/>
    <w:rsid w:val="00702790"/>
    <w:rsid w:val="00755F4B"/>
    <w:rsid w:val="0077165C"/>
    <w:rsid w:val="008A09F6"/>
    <w:rsid w:val="00917403"/>
    <w:rsid w:val="00924D60"/>
    <w:rsid w:val="00925498"/>
    <w:rsid w:val="00966639"/>
    <w:rsid w:val="00A15B04"/>
    <w:rsid w:val="00A614AC"/>
    <w:rsid w:val="00A878E6"/>
    <w:rsid w:val="00A96F86"/>
    <w:rsid w:val="00AB7696"/>
    <w:rsid w:val="00AF7B7E"/>
    <w:rsid w:val="00B11370"/>
    <w:rsid w:val="00B473B2"/>
    <w:rsid w:val="00BF1439"/>
    <w:rsid w:val="00C64A6D"/>
    <w:rsid w:val="00C73014"/>
    <w:rsid w:val="00CA5540"/>
    <w:rsid w:val="00CC2581"/>
    <w:rsid w:val="00CF32BD"/>
    <w:rsid w:val="00D27F01"/>
    <w:rsid w:val="00D64D34"/>
    <w:rsid w:val="00DC445B"/>
    <w:rsid w:val="00DD182F"/>
    <w:rsid w:val="00E5684B"/>
    <w:rsid w:val="00EB6987"/>
    <w:rsid w:val="00F05707"/>
    <w:rsid w:val="00F3602F"/>
    <w:rsid w:val="00F60E55"/>
    <w:rsid w:val="0B56ECE0"/>
    <w:rsid w:val="153FDEAC"/>
    <w:rsid w:val="179FE358"/>
    <w:rsid w:val="2D5F289D"/>
    <w:rsid w:val="2DF39BAB"/>
    <w:rsid w:val="3BE70B28"/>
    <w:rsid w:val="3DFFFEE9"/>
    <w:rsid w:val="3EBF8E3F"/>
    <w:rsid w:val="3FFFDB29"/>
    <w:rsid w:val="4ABFBDC2"/>
    <w:rsid w:val="57977858"/>
    <w:rsid w:val="5AFF0007"/>
    <w:rsid w:val="64772668"/>
    <w:rsid w:val="6FFDB1AC"/>
    <w:rsid w:val="7CF7DB9D"/>
    <w:rsid w:val="7D0F2C63"/>
    <w:rsid w:val="7EED55DE"/>
    <w:rsid w:val="7EFA1A07"/>
    <w:rsid w:val="7F129DC6"/>
    <w:rsid w:val="7F5BF482"/>
    <w:rsid w:val="7F7F1239"/>
    <w:rsid w:val="7FDE0428"/>
    <w:rsid w:val="7FFEB9BB"/>
    <w:rsid w:val="7FFF7861"/>
    <w:rsid w:val="9A9D1C3F"/>
    <w:rsid w:val="9E7F85B4"/>
    <w:rsid w:val="9EFB849D"/>
    <w:rsid w:val="B3FFA3F6"/>
    <w:rsid w:val="BEBFDDAF"/>
    <w:rsid w:val="CBFA5886"/>
    <w:rsid w:val="CFEF2D49"/>
    <w:rsid w:val="D8CF5F78"/>
    <w:rsid w:val="DBFF7547"/>
    <w:rsid w:val="DDFFE0D5"/>
    <w:rsid w:val="DFF91CCC"/>
    <w:rsid w:val="DFFFA4F3"/>
    <w:rsid w:val="ECFF8718"/>
    <w:rsid w:val="EEFB7C17"/>
    <w:rsid w:val="EFEF1911"/>
    <w:rsid w:val="FB7F25C0"/>
    <w:rsid w:val="FCEE26E1"/>
    <w:rsid w:val="FDFF3736"/>
    <w:rsid w:val="FFB7902D"/>
    <w:rsid w:val="FFEB4108"/>
    <w:rsid w:val="FFEEFC32"/>
    <w:rsid w:val="FFFBAE5E"/>
    <w:rsid w:val="FFFFD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1"/>
    <w:pPr>
      <w:autoSpaceDE w:val="0"/>
      <w:autoSpaceDN w:val="0"/>
      <w:adjustRightInd w:val="0"/>
      <w:ind w:left="119"/>
      <w:jc w:val="left"/>
      <w:outlineLvl w:val="1"/>
    </w:pPr>
    <w:rPr>
      <w:rFonts w:ascii="宋体" w:cs="宋体"/>
      <w:kern w:val="0"/>
      <w:sz w:val="30"/>
      <w:szCs w:val="3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pPr>
  </w:style>
  <w:style w:type="paragraph" w:styleId="5">
    <w:name w:val="Body Text"/>
    <w:basedOn w:val="1"/>
    <w:link w:val="18"/>
    <w:qFormat/>
    <w:uiPriority w:val="1"/>
    <w:pPr>
      <w:autoSpaceDE w:val="0"/>
      <w:autoSpaceDN w:val="0"/>
      <w:adjustRightInd w:val="0"/>
      <w:jc w:val="left"/>
    </w:pPr>
    <w:rPr>
      <w:rFonts w:ascii="宋体" w:cs="宋体"/>
      <w:kern w:val="0"/>
      <w:sz w:val="28"/>
      <w:szCs w:val="28"/>
    </w:rPr>
  </w:style>
  <w:style w:type="paragraph" w:styleId="6">
    <w:name w:val="Date"/>
    <w:basedOn w:val="1"/>
    <w:next w:val="1"/>
    <w:link w:val="13"/>
    <w:semiHidden/>
    <w:unhideWhenUsed/>
    <w:qFormat/>
    <w:uiPriority w:val="99"/>
    <w:pPr>
      <w:ind w:left="100" w:leftChars="2500"/>
    </w:pPr>
    <w:rPr>
      <w:rFonts w:asciiTheme="minorHAnsi" w:hAnsiTheme="minorHAnsi" w:eastAsiaTheme="minorEastAsia" w:cstheme="minorBidi"/>
      <w:szCs w:val="22"/>
    </w:rPr>
  </w:style>
  <w:style w:type="paragraph" w:styleId="7">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日期 字符"/>
    <w:basedOn w:val="12"/>
    <w:link w:val="6"/>
    <w:semiHidden/>
    <w:qFormat/>
    <w:uiPriority w:val="99"/>
  </w:style>
  <w:style w:type="paragraph" w:styleId="14">
    <w:name w:val="List Paragraph"/>
    <w:basedOn w:val="1"/>
    <w:qFormat/>
    <w:uiPriority w:val="34"/>
    <w:pPr>
      <w:widowControl/>
      <w:ind w:firstLine="420" w:firstLineChars="200"/>
      <w:jc w:val="left"/>
    </w:pPr>
    <w:rPr>
      <w:rFonts w:ascii="宋体" w:hAnsi="宋体" w:cs="宋体"/>
      <w:kern w:val="0"/>
      <w:sz w:val="24"/>
      <w:szCs w:val="24"/>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标题 2 字符"/>
    <w:basedOn w:val="12"/>
    <w:link w:val="3"/>
    <w:qFormat/>
    <w:uiPriority w:val="9"/>
    <w:rPr>
      <w:rFonts w:ascii="宋体" w:hAnsi="Times New Roman" w:eastAsia="宋体" w:cs="宋体"/>
      <w:kern w:val="0"/>
      <w:sz w:val="30"/>
      <w:szCs w:val="30"/>
    </w:rPr>
  </w:style>
  <w:style w:type="character" w:customStyle="1" w:styleId="18">
    <w:name w:val="正文文本 字符"/>
    <w:basedOn w:val="12"/>
    <w:link w:val="5"/>
    <w:qFormat/>
    <w:uiPriority w:val="99"/>
    <w:rPr>
      <w:rFonts w:ascii="宋体" w:hAnsi="Times New Roman" w:eastAsia="宋体" w:cs="宋体"/>
      <w:kern w:val="0"/>
      <w:sz w:val="28"/>
      <w:szCs w:val="28"/>
    </w:rPr>
  </w:style>
  <w:style w:type="character" w:customStyle="1" w:styleId="19">
    <w:name w:val="标题 1 字符"/>
    <w:basedOn w:val="12"/>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3057</Words>
  <Characters>3057</Characters>
  <Lines>32</Lines>
  <Paragraphs>9</Paragraphs>
  <TotalTime>787</TotalTime>
  <ScaleCrop>false</ScaleCrop>
  <LinksUpToDate>false</LinksUpToDate>
  <CharactersWithSpaces>3079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2023-09-08T10:50:00Z</dcterms:created>
  <dc:creator>User</dc:creator>
  <cp:lastModifiedBy>罗达！</cp:lastModifiedBy>
  <cp:lastPrinted>2023-11-04T15:55:00Z</cp:lastPrinted>
  <dcterms:modified xsi:type="dcterms:W3CDTF">2023-11-10T02:38:07Z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0C73E4978A814340BF56591BDCFA0751_13</vt:lpwstr>
  </property>
</Properties>
</file>